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EA8" w:rsidRDefault="00C35EA8">
      <w:pPr>
        <w:autoSpaceDE w:val="0"/>
        <w:autoSpaceDN w:val="0"/>
        <w:adjustRightInd w:val="0"/>
        <w:spacing w:line="360" w:lineRule="atLeast"/>
        <w:ind w:left="880" w:hanging="220"/>
        <w:jc w:val="left"/>
        <w:rPr>
          <w:rFonts w:ascii="ＭＳ 明朝" w:eastAsia="ＭＳ 明朝" w:hAnsi="ＭＳ 明朝" w:cs="ＭＳ 明朝"/>
          <w:color w:val="000000"/>
          <w:kern w:val="0"/>
          <w:sz w:val="22"/>
        </w:rPr>
      </w:pPr>
      <w:bookmarkStart w:id="0" w:name="_GoBack"/>
      <w:bookmarkEnd w:id="0"/>
      <w:r>
        <w:rPr>
          <w:rFonts w:ascii="ＭＳ 明朝" w:eastAsia="ＭＳ 明朝" w:hAnsi="ＭＳ 明朝" w:cs="ＭＳ 明朝" w:hint="eastAsia"/>
          <w:color w:val="000000"/>
          <w:kern w:val="0"/>
          <w:sz w:val="22"/>
        </w:rPr>
        <w:t>○鬼北町景観まちづくり条例施行規則</w:t>
      </w:r>
    </w:p>
    <w:p w:rsidR="00C35EA8" w:rsidRDefault="00C35EA8">
      <w:pPr>
        <w:autoSpaceDE w:val="0"/>
        <w:autoSpaceDN w:val="0"/>
        <w:adjustRightInd w:val="0"/>
        <w:spacing w:line="360" w:lineRule="atLeast"/>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平成</w:t>
      </w:r>
      <w:r>
        <w:rPr>
          <w:rFonts w:ascii="ＭＳ 明朝" w:eastAsia="ＭＳ 明朝" w:hAnsi="ＭＳ 明朝" w:cs="ＭＳ 明朝"/>
          <w:color w:val="000000"/>
          <w:kern w:val="0"/>
          <w:sz w:val="22"/>
        </w:rPr>
        <w:t>30</w:t>
      </w:r>
      <w:r>
        <w:rPr>
          <w:rFonts w:ascii="ＭＳ 明朝" w:eastAsia="ＭＳ 明朝" w:hAnsi="ＭＳ 明朝" w:cs="ＭＳ 明朝" w:hint="eastAsia"/>
          <w:color w:val="000000"/>
          <w:kern w:val="0"/>
          <w:sz w:val="22"/>
        </w:rPr>
        <w:t>年６月</w:t>
      </w:r>
      <w:r>
        <w:rPr>
          <w:rFonts w:ascii="ＭＳ 明朝" w:eastAsia="ＭＳ 明朝" w:hAnsi="ＭＳ 明朝" w:cs="ＭＳ 明朝"/>
          <w:color w:val="000000"/>
          <w:kern w:val="0"/>
          <w:sz w:val="22"/>
        </w:rPr>
        <w:t>13</w:t>
      </w:r>
      <w:r>
        <w:rPr>
          <w:rFonts w:ascii="ＭＳ 明朝" w:eastAsia="ＭＳ 明朝" w:hAnsi="ＭＳ 明朝" w:cs="ＭＳ 明朝" w:hint="eastAsia"/>
          <w:color w:val="000000"/>
          <w:kern w:val="0"/>
          <w:sz w:val="22"/>
        </w:rPr>
        <w:t>日</w:t>
      </w:r>
    </w:p>
    <w:p w:rsidR="00C35EA8" w:rsidRDefault="00C35EA8">
      <w:pPr>
        <w:autoSpaceDE w:val="0"/>
        <w:autoSpaceDN w:val="0"/>
        <w:adjustRightInd w:val="0"/>
        <w:spacing w:line="360" w:lineRule="atLeast"/>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規則第</w:t>
      </w:r>
      <w:r>
        <w:rPr>
          <w:rFonts w:ascii="ＭＳ 明朝" w:eastAsia="ＭＳ 明朝" w:hAnsi="ＭＳ 明朝" w:cs="ＭＳ 明朝"/>
          <w:color w:val="000000"/>
          <w:kern w:val="0"/>
          <w:sz w:val="22"/>
        </w:rPr>
        <w:t>24</w:t>
      </w:r>
      <w:r>
        <w:rPr>
          <w:rFonts w:ascii="ＭＳ 明朝" w:eastAsia="ＭＳ 明朝" w:hAnsi="ＭＳ 明朝" w:cs="ＭＳ 明朝" w:hint="eastAsia"/>
          <w:color w:val="000000"/>
          <w:kern w:val="0"/>
          <w:sz w:val="22"/>
        </w:rPr>
        <w:t>号</w:t>
      </w:r>
    </w:p>
    <w:p w:rsidR="00C35EA8" w:rsidRDefault="00C35EA8">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（趣旨）</w:t>
      </w:r>
    </w:p>
    <w:p w:rsidR="00C35EA8" w:rsidRDefault="00C35EA8">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第１条　この規則は、鬼北町景観まちづくり条例（平成</w:t>
      </w:r>
      <w:r>
        <w:rPr>
          <w:rFonts w:ascii="ＭＳ 明朝" w:eastAsia="ＭＳ 明朝" w:hAnsi="ＭＳ 明朝" w:cs="ＭＳ 明朝"/>
          <w:color w:val="000000"/>
          <w:kern w:val="0"/>
          <w:sz w:val="22"/>
        </w:rPr>
        <w:t>30</w:t>
      </w:r>
      <w:r>
        <w:rPr>
          <w:rFonts w:ascii="ＭＳ 明朝" w:eastAsia="ＭＳ 明朝" w:hAnsi="ＭＳ 明朝" w:cs="ＭＳ 明朝" w:hint="eastAsia"/>
          <w:color w:val="000000"/>
          <w:kern w:val="0"/>
          <w:sz w:val="22"/>
        </w:rPr>
        <w:t>年鬼北町条例第</w:t>
      </w:r>
      <w:r>
        <w:rPr>
          <w:rFonts w:ascii="ＭＳ 明朝" w:eastAsia="ＭＳ 明朝" w:hAnsi="ＭＳ 明朝" w:cs="ＭＳ 明朝"/>
          <w:color w:val="000000"/>
          <w:kern w:val="0"/>
          <w:sz w:val="22"/>
        </w:rPr>
        <w:t>19</w:t>
      </w:r>
      <w:r>
        <w:rPr>
          <w:rFonts w:ascii="ＭＳ 明朝" w:eastAsia="ＭＳ 明朝" w:hAnsi="ＭＳ 明朝" w:cs="ＭＳ 明朝" w:hint="eastAsia"/>
          <w:color w:val="000000"/>
          <w:kern w:val="0"/>
          <w:sz w:val="22"/>
        </w:rPr>
        <w:t>号。以下「条例」という。）の施行に関し、必要な事項を定めるものとする。</w:t>
      </w:r>
    </w:p>
    <w:p w:rsidR="00C35EA8" w:rsidRDefault="00C35EA8">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（規則で定める工作物）</w:t>
      </w:r>
    </w:p>
    <w:p w:rsidR="00C35EA8" w:rsidRDefault="00C35EA8">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第２条　条例第２条第１項第５号の規則で定める工作物は、次に掲げるものとする。</w:t>
      </w:r>
    </w:p>
    <w:p w:rsidR="00C35EA8" w:rsidRDefault="00C35EA8">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 xml:space="preserve">　塀、柵、擁壁その他これらに類するもの</w:t>
      </w:r>
    </w:p>
    <w:p w:rsidR="00C35EA8" w:rsidRDefault="00C35EA8">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 xml:space="preserve">　煙突、電波塔、鉄塔その他これらに類するもの</w:t>
      </w:r>
    </w:p>
    <w:p w:rsidR="00C35EA8" w:rsidRDefault="00C35EA8">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(3)</w:t>
      </w:r>
      <w:r>
        <w:rPr>
          <w:rFonts w:ascii="ＭＳ 明朝" w:eastAsia="ＭＳ 明朝" w:hAnsi="ＭＳ 明朝" w:cs="ＭＳ 明朝" w:hint="eastAsia"/>
          <w:color w:val="000000"/>
          <w:kern w:val="0"/>
          <w:sz w:val="22"/>
        </w:rPr>
        <w:t xml:space="preserve">　鉄筋コンクリート柱、鉄柱その他に類するもの</w:t>
      </w:r>
    </w:p>
    <w:p w:rsidR="00C35EA8" w:rsidRDefault="00C35EA8">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(4)</w:t>
      </w:r>
      <w:r>
        <w:rPr>
          <w:rFonts w:ascii="ＭＳ 明朝" w:eastAsia="ＭＳ 明朝" w:hAnsi="ＭＳ 明朝" w:cs="ＭＳ 明朝" w:hint="eastAsia"/>
          <w:color w:val="000000"/>
          <w:kern w:val="0"/>
          <w:sz w:val="22"/>
        </w:rPr>
        <w:t xml:space="preserve">　彫像その他これらに類するもの</w:t>
      </w:r>
    </w:p>
    <w:p w:rsidR="00C35EA8" w:rsidRDefault="00C35EA8">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(5)</w:t>
      </w:r>
      <w:r>
        <w:rPr>
          <w:rFonts w:ascii="ＭＳ 明朝" w:eastAsia="ＭＳ 明朝" w:hAnsi="ＭＳ 明朝" w:cs="ＭＳ 明朝" w:hint="eastAsia"/>
          <w:color w:val="000000"/>
          <w:kern w:val="0"/>
          <w:sz w:val="22"/>
        </w:rPr>
        <w:t xml:space="preserve">　高架水槽</w:t>
      </w:r>
    </w:p>
    <w:p w:rsidR="00C35EA8" w:rsidRDefault="00C35EA8">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(6)</w:t>
      </w:r>
      <w:r>
        <w:rPr>
          <w:rFonts w:ascii="ＭＳ 明朝" w:eastAsia="ＭＳ 明朝" w:hAnsi="ＭＳ 明朝" w:cs="ＭＳ 明朝" w:hint="eastAsia"/>
          <w:color w:val="000000"/>
          <w:kern w:val="0"/>
          <w:sz w:val="22"/>
        </w:rPr>
        <w:t xml:space="preserve">　石油、ガス、</w:t>
      </w:r>
      <w:r>
        <w:rPr>
          <w:rFonts w:ascii="ＭＳ 明朝" w:eastAsia="ＭＳ 明朝" w:hAnsi="ＭＳ 明朝" w:cs="ＭＳ 明朝"/>
          <w:color w:val="000000"/>
          <w:kern w:val="0"/>
          <w:sz w:val="22"/>
        </w:rPr>
        <w:t>LPG</w:t>
      </w:r>
      <w:r>
        <w:rPr>
          <w:rFonts w:ascii="ＭＳ 明朝" w:eastAsia="ＭＳ 明朝" w:hAnsi="ＭＳ 明朝" w:cs="ＭＳ 明朝" w:hint="eastAsia"/>
          <w:color w:val="000000"/>
          <w:kern w:val="0"/>
          <w:sz w:val="22"/>
        </w:rPr>
        <w:t>、穀物、飼料等を貯蔵する施設その他これらに類するもの</w:t>
      </w:r>
    </w:p>
    <w:p w:rsidR="00C35EA8" w:rsidRDefault="00C35EA8">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(7)</w:t>
      </w:r>
      <w:r>
        <w:rPr>
          <w:rFonts w:ascii="ＭＳ 明朝" w:eastAsia="ＭＳ 明朝" w:hAnsi="ＭＳ 明朝" w:cs="ＭＳ 明朝" w:hint="eastAsia"/>
          <w:color w:val="000000"/>
          <w:kern w:val="0"/>
          <w:sz w:val="22"/>
        </w:rPr>
        <w:t xml:space="preserve">　ウォーターシュート、コースター、観覧車その他これらに類するもの</w:t>
      </w:r>
    </w:p>
    <w:p w:rsidR="00C35EA8" w:rsidRDefault="00C35EA8">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(8)</w:t>
      </w:r>
      <w:r>
        <w:rPr>
          <w:rFonts w:ascii="ＭＳ 明朝" w:eastAsia="ＭＳ 明朝" w:hAnsi="ＭＳ 明朝" w:cs="ＭＳ 明朝" w:hint="eastAsia"/>
          <w:color w:val="000000"/>
          <w:kern w:val="0"/>
          <w:sz w:val="22"/>
        </w:rPr>
        <w:t xml:space="preserve">　コンクリートプラント、アスファルトプラント、クラッシャープラントその他これらに類するもの</w:t>
      </w:r>
    </w:p>
    <w:p w:rsidR="00C35EA8" w:rsidRDefault="00C35EA8">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(9)</w:t>
      </w:r>
      <w:r>
        <w:rPr>
          <w:rFonts w:ascii="ＭＳ 明朝" w:eastAsia="ＭＳ 明朝" w:hAnsi="ＭＳ 明朝" w:cs="ＭＳ 明朝" w:hint="eastAsia"/>
          <w:color w:val="000000"/>
          <w:kern w:val="0"/>
          <w:sz w:val="22"/>
        </w:rPr>
        <w:t xml:space="preserve">　電気供給のための電線類又は有線電気通信のための線路若しくは空中線形（その支持物を含む。）</w:t>
      </w:r>
    </w:p>
    <w:p w:rsidR="00C35EA8" w:rsidRDefault="00C35EA8">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(10)</w:t>
      </w:r>
      <w:r>
        <w:rPr>
          <w:rFonts w:ascii="ＭＳ 明朝" w:eastAsia="ＭＳ 明朝" w:hAnsi="ＭＳ 明朝" w:cs="ＭＳ 明朝" w:hint="eastAsia"/>
          <w:color w:val="000000"/>
          <w:kern w:val="0"/>
          <w:sz w:val="22"/>
        </w:rPr>
        <w:t xml:space="preserve">　メガソーラーパネル</w:t>
      </w:r>
    </w:p>
    <w:p w:rsidR="00C35EA8" w:rsidRDefault="00C35EA8">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(11)</w:t>
      </w:r>
      <w:r>
        <w:rPr>
          <w:rFonts w:ascii="ＭＳ 明朝" w:eastAsia="ＭＳ 明朝" w:hAnsi="ＭＳ 明朝" w:cs="ＭＳ 明朝" w:hint="eastAsia"/>
          <w:color w:val="000000"/>
          <w:kern w:val="0"/>
          <w:sz w:val="22"/>
        </w:rPr>
        <w:t xml:space="preserve">　前各号に定めるもののほか、町長が指定するもの</w:t>
      </w:r>
    </w:p>
    <w:p w:rsidR="00C35EA8" w:rsidRDefault="00C35EA8">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（景観計画の提案団体）</w:t>
      </w:r>
    </w:p>
    <w:p w:rsidR="00C35EA8" w:rsidRDefault="00C35EA8">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第３条　条例第９条に規定する規則で定める団体の要件は、次に掲げるものとする。</w:t>
      </w:r>
    </w:p>
    <w:p w:rsidR="00C35EA8" w:rsidRDefault="00C35EA8">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 xml:space="preserve">　営利を目的としないこと。</w:t>
      </w:r>
    </w:p>
    <w:p w:rsidR="00C35EA8" w:rsidRDefault="00C35EA8">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 xml:space="preserve">　法人格を有しない団体にあっては、代表者等の定めのある規約を有していること。</w:t>
      </w:r>
    </w:p>
    <w:p w:rsidR="00C35EA8" w:rsidRDefault="00C35EA8">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（行為の届出）</w:t>
      </w:r>
    </w:p>
    <w:p w:rsidR="00C35EA8" w:rsidRDefault="00C35EA8">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第４条　景観法（平成</w:t>
      </w:r>
      <w:r>
        <w:rPr>
          <w:rFonts w:ascii="ＭＳ 明朝" w:eastAsia="ＭＳ 明朝" w:hAnsi="ＭＳ 明朝" w:cs="ＭＳ 明朝"/>
          <w:color w:val="000000"/>
          <w:kern w:val="0"/>
          <w:sz w:val="22"/>
        </w:rPr>
        <w:t>16</w:t>
      </w:r>
      <w:r>
        <w:rPr>
          <w:rFonts w:ascii="ＭＳ 明朝" w:eastAsia="ＭＳ 明朝" w:hAnsi="ＭＳ 明朝" w:cs="ＭＳ 明朝" w:hint="eastAsia"/>
          <w:color w:val="000000"/>
          <w:kern w:val="0"/>
          <w:sz w:val="22"/>
        </w:rPr>
        <w:t>年法律第</w:t>
      </w:r>
      <w:r>
        <w:rPr>
          <w:rFonts w:ascii="ＭＳ 明朝" w:eastAsia="ＭＳ 明朝" w:hAnsi="ＭＳ 明朝" w:cs="ＭＳ 明朝"/>
          <w:color w:val="000000"/>
          <w:kern w:val="0"/>
          <w:sz w:val="22"/>
        </w:rPr>
        <w:t>110</w:t>
      </w:r>
      <w:r>
        <w:rPr>
          <w:rFonts w:ascii="ＭＳ 明朝" w:eastAsia="ＭＳ 明朝" w:hAnsi="ＭＳ 明朝" w:cs="ＭＳ 明朝" w:hint="eastAsia"/>
          <w:color w:val="000000"/>
          <w:kern w:val="0"/>
          <w:sz w:val="22"/>
        </w:rPr>
        <w:t>号。以下「法」という。）第</w:t>
      </w:r>
      <w:r>
        <w:rPr>
          <w:rFonts w:ascii="ＭＳ 明朝" w:eastAsia="ＭＳ 明朝" w:hAnsi="ＭＳ 明朝" w:cs="ＭＳ 明朝"/>
          <w:color w:val="000000"/>
          <w:kern w:val="0"/>
          <w:sz w:val="22"/>
        </w:rPr>
        <w:t>16</w:t>
      </w:r>
      <w:r>
        <w:rPr>
          <w:rFonts w:ascii="ＭＳ 明朝" w:eastAsia="ＭＳ 明朝" w:hAnsi="ＭＳ 明朝" w:cs="ＭＳ 明朝" w:hint="eastAsia"/>
          <w:color w:val="000000"/>
          <w:kern w:val="0"/>
          <w:sz w:val="22"/>
        </w:rPr>
        <w:t>条第１項の規定による行為の届出は、景観計画区域内行為届出書（様式第１号）による。</w:t>
      </w:r>
    </w:p>
    <w:p w:rsidR="00C35EA8" w:rsidRDefault="00C35EA8">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　法第</w:t>
      </w:r>
      <w:r>
        <w:rPr>
          <w:rFonts w:ascii="ＭＳ 明朝" w:eastAsia="ＭＳ 明朝" w:hAnsi="ＭＳ 明朝" w:cs="ＭＳ 明朝"/>
          <w:color w:val="000000"/>
          <w:kern w:val="0"/>
          <w:sz w:val="22"/>
        </w:rPr>
        <w:t>16</w:t>
      </w:r>
      <w:r>
        <w:rPr>
          <w:rFonts w:ascii="ＭＳ 明朝" w:eastAsia="ＭＳ 明朝" w:hAnsi="ＭＳ 明朝" w:cs="ＭＳ 明朝" w:hint="eastAsia"/>
          <w:color w:val="000000"/>
          <w:kern w:val="0"/>
          <w:sz w:val="22"/>
        </w:rPr>
        <w:t>条第１項の規定による届出をした者は、当該届出に係る行為の完了の前に住所又は氏名に変更があったときは、速やかに書面で町長に届け出なければならない。</w:t>
      </w:r>
    </w:p>
    <w:p w:rsidR="00C35EA8" w:rsidRDefault="00C35EA8">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３　法第</w:t>
      </w:r>
      <w:r>
        <w:rPr>
          <w:rFonts w:ascii="ＭＳ 明朝" w:eastAsia="ＭＳ 明朝" w:hAnsi="ＭＳ 明朝" w:cs="ＭＳ 明朝"/>
          <w:color w:val="000000"/>
          <w:kern w:val="0"/>
          <w:sz w:val="22"/>
        </w:rPr>
        <w:t>16</w:t>
      </w:r>
      <w:r>
        <w:rPr>
          <w:rFonts w:ascii="ＭＳ 明朝" w:eastAsia="ＭＳ 明朝" w:hAnsi="ＭＳ 明朝" w:cs="ＭＳ 明朝" w:hint="eastAsia"/>
          <w:color w:val="000000"/>
          <w:kern w:val="0"/>
          <w:sz w:val="22"/>
        </w:rPr>
        <w:t>条第２項の規定による変更の届出は、景観計画区域内行為変更届出書（様式第２号）による。</w:t>
      </w:r>
    </w:p>
    <w:p w:rsidR="00C35EA8" w:rsidRDefault="00C35EA8">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（適合通知）</w:t>
      </w:r>
    </w:p>
    <w:p w:rsidR="00C35EA8" w:rsidRDefault="00C35EA8">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第５条　町長は、法第</w:t>
      </w:r>
      <w:r>
        <w:rPr>
          <w:rFonts w:ascii="ＭＳ 明朝" w:eastAsia="ＭＳ 明朝" w:hAnsi="ＭＳ 明朝" w:cs="ＭＳ 明朝"/>
          <w:color w:val="000000"/>
          <w:kern w:val="0"/>
          <w:sz w:val="22"/>
        </w:rPr>
        <w:t>16</w:t>
      </w:r>
      <w:r>
        <w:rPr>
          <w:rFonts w:ascii="ＭＳ 明朝" w:eastAsia="ＭＳ 明朝" w:hAnsi="ＭＳ 明朝" w:cs="ＭＳ 明朝" w:hint="eastAsia"/>
          <w:color w:val="000000"/>
          <w:kern w:val="0"/>
          <w:sz w:val="22"/>
        </w:rPr>
        <w:t>条第１項又は第２項の規定による届出があった場合において、その届出に係る行為が景観計画に定められた当該行為についての制限に適合すると認めるときは、景観計画区域内行為制限の適合通知書（様式第３号）により当該届出をした者に通知するものとする。</w:t>
      </w:r>
    </w:p>
    <w:p w:rsidR="00C35EA8" w:rsidRDefault="00C35EA8">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（勧告及び公表の方法）</w:t>
      </w:r>
    </w:p>
    <w:p w:rsidR="00C35EA8" w:rsidRDefault="00C35EA8">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第６条　法第</w:t>
      </w:r>
      <w:r>
        <w:rPr>
          <w:rFonts w:ascii="ＭＳ 明朝" w:eastAsia="ＭＳ 明朝" w:hAnsi="ＭＳ 明朝" w:cs="ＭＳ 明朝"/>
          <w:color w:val="000000"/>
          <w:kern w:val="0"/>
          <w:sz w:val="22"/>
        </w:rPr>
        <w:t>16</w:t>
      </w:r>
      <w:r>
        <w:rPr>
          <w:rFonts w:ascii="ＭＳ 明朝" w:eastAsia="ＭＳ 明朝" w:hAnsi="ＭＳ 明朝" w:cs="ＭＳ 明朝" w:hint="eastAsia"/>
          <w:color w:val="000000"/>
          <w:kern w:val="0"/>
          <w:sz w:val="22"/>
        </w:rPr>
        <w:t>条第３項の規定による勧告は、景観計画区域内行為勧告書（様式第４号）により行うものとする。</w:t>
      </w:r>
    </w:p>
    <w:p w:rsidR="00C35EA8" w:rsidRDefault="00C35EA8">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　条例第</w:t>
      </w:r>
      <w:r>
        <w:rPr>
          <w:rFonts w:ascii="ＭＳ 明朝" w:eastAsia="ＭＳ 明朝" w:hAnsi="ＭＳ 明朝" w:cs="ＭＳ 明朝"/>
          <w:color w:val="000000"/>
          <w:kern w:val="0"/>
          <w:sz w:val="22"/>
        </w:rPr>
        <w:t>14</w:t>
      </w:r>
      <w:r>
        <w:rPr>
          <w:rFonts w:ascii="ＭＳ 明朝" w:eastAsia="ＭＳ 明朝" w:hAnsi="ＭＳ 明朝" w:cs="ＭＳ 明朝" w:hint="eastAsia"/>
          <w:color w:val="000000"/>
          <w:kern w:val="0"/>
          <w:sz w:val="22"/>
        </w:rPr>
        <w:t>条第２項の規定による公表は、勧告を受けた者の氏名又は名称、勧告の内容その他町長が必要と認める事項を、告示その他町長が適当と認める方法により行うものとする。</w:t>
      </w:r>
    </w:p>
    <w:p w:rsidR="00C35EA8" w:rsidRDefault="00C35EA8">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（審査会）</w:t>
      </w:r>
    </w:p>
    <w:p w:rsidR="00C35EA8" w:rsidRDefault="00C35EA8">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第７条　鬼北町景観審査会（以下「審査会」という。）は委員</w:t>
      </w:r>
      <w:r>
        <w:rPr>
          <w:rFonts w:ascii="ＭＳ 明朝" w:eastAsia="ＭＳ 明朝" w:hAnsi="ＭＳ 明朝" w:cs="ＭＳ 明朝"/>
          <w:color w:val="000000"/>
          <w:kern w:val="0"/>
          <w:sz w:val="22"/>
        </w:rPr>
        <w:t>10</w:t>
      </w:r>
      <w:r>
        <w:rPr>
          <w:rFonts w:ascii="ＭＳ 明朝" w:eastAsia="ＭＳ 明朝" w:hAnsi="ＭＳ 明朝" w:cs="ＭＳ 明朝" w:hint="eastAsia"/>
          <w:color w:val="000000"/>
          <w:kern w:val="0"/>
          <w:sz w:val="22"/>
        </w:rPr>
        <w:t>人以内で組織し、委員は町長が委嘱する。</w:t>
      </w:r>
    </w:p>
    <w:p w:rsidR="00C35EA8" w:rsidRDefault="00C35EA8">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　委員の任期は、２年以内とし、再任を妨げない。ただし、委員が欠けた場合における補欠の委員の任期は、前任者の残任期間とする。</w:t>
      </w:r>
    </w:p>
    <w:p w:rsidR="00C35EA8" w:rsidRDefault="00C35EA8">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３　審査会に会長１人及び副会長１人を置き、委員の互選よりこれを定める。</w:t>
      </w:r>
    </w:p>
    <w:p w:rsidR="00C35EA8" w:rsidRDefault="00C35EA8">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４　審査会の会議（以下「会議」という。）は、会長が招集し、その議長となる。</w:t>
      </w:r>
    </w:p>
    <w:p w:rsidR="00C35EA8" w:rsidRDefault="00C35EA8">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５　会議は、委員の過半数が出席しなければ開催することができない。</w:t>
      </w:r>
    </w:p>
    <w:p w:rsidR="00C35EA8" w:rsidRDefault="00C35EA8">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６　会議の議事は、出席委員の過半数でこれを決し、可否同数のときは、会長の決するところによる。</w:t>
      </w:r>
    </w:p>
    <w:p w:rsidR="00C35EA8" w:rsidRDefault="00C35EA8">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７　専門的事項の調査又は審査の上で必要と認めた場合には、審査会に専門委員を置く。</w:t>
      </w:r>
    </w:p>
    <w:p w:rsidR="00C35EA8" w:rsidRDefault="00C35EA8">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８　専門委員は、委員以外の者から会長が委嘱する。</w:t>
      </w:r>
    </w:p>
    <w:p w:rsidR="00C35EA8" w:rsidRDefault="00C35EA8">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９　審査会の運営に関し必要な事項は、会長が別に定める。</w:t>
      </w:r>
    </w:p>
    <w:p w:rsidR="00C35EA8" w:rsidRDefault="00C35EA8">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（その他）</w:t>
      </w:r>
    </w:p>
    <w:p w:rsidR="00C35EA8" w:rsidRDefault="00C35EA8">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第８条　この規則に定めるもののほか、必要な事項は、町長が別に定める。</w:t>
      </w:r>
    </w:p>
    <w:p w:rsidR="00C35EA8" w:rsidRDefault="00C35EA8">
      <w:pPr>
        <w:autoSpaceDE w:val="0"/>
        <w:autoSpaceDN w:val="0"/>
        <w:adjustRightInd w:val="0"/>
        <w:spacing w:line="360" w:lineRule="atLeast"/>
        <w:ind w:left="66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附　則</w:t>
      </w:r>
    </w:p>
    <w:p w:rsidR="00C35EA8" w:rsidRPr="00273FD4" w:rsidRDefault="00C35EA8" w:rsidP="00273FD4">
      <w:pPr>
        <w:autoSpaceDE w:val="0"/>
        <w:autoSpaceDN w:val="0"/>
        <w:adjustRightInd w:val="0"/>
        <w:spacing w:line="360" w:lineRule="atLeast"/>
        <w:ind w:firstLine="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この規則は、公布の日から施行する。</w:t>
      </w:r>
      <w:bookmarkStart w:id="1" w:name="last"/>
      <w:bookmarkEnd w:id="1"/>
    </w:p>
    <w:sectPr w:rsidR="00C35EA8" w:rsidRPr="00273FD4">
      <w:footerReference w:type="default" r:id="rId6"/>
      <w:pgSz w:w="11905" w:h="16837"/>
      <w:pgMar w:top="1700" w:right="1133" w:bottom="1133"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ED6" w:rsidRDefault="006E2ED6">
      <w:r>
        <w:separator/>
      </w:r>
    </w:p>
  </w:endnote>
  <w:endnote w:type="continuationSeparator" w:id="0">
    <w:p w:rsidR="006E2ED6" w:rsidRDefault="006E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EA8" w:rsidRDefault="00C35EA8">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pgNum/>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sidR="00CA00F2">
      <w:rPr>
        <w:rFonts w:ascii="ＭＳ 明朝" w:eastAsia="ＭＳ 明朝" w:hAnsi="ＭＳ 明朝" w:cs="ＭＳ 明朝"/>
        <w:noProof/>
        <w:color w:val="000000"/>
        <w:kern w:val="0"/>
        <w:szCs w:val="21"/>
      </w:rPr>
      <w:t>2</w:t>
    </w:r>
    <w:r>
      <w:rPr>
        <w:rFonts w:ascii="ＭＳ 明朝"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ED6" w:rsidRDefault="006E2ED6">
      <w:r>
        <w:separator/>
      </w:r>
    </w:p>
  </w:footnote>
  <w:footnote w:type="continuationSeparator" w:id="0">
    <w:p w:rsidR="006E2ED6" w:rsidRDefault="006E2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CB7"/>
    <w:rsid w:val="000721CD"/>
    <w:rsid w:val="00273FD4"/>
    <w:rsid w:val="00443023"/>
    <w:rsid w:val="006E2ED6"/>
    <w:rsid w:val="00805F69"/>
    <w:rsid w:val="00C10CB7"/>
    <w:rsid w:val="00C17828"/>
    <w:rsid w:val="00C35EA8"/>
    <w:rsid w:val="00CA0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5F4A8EF2.dotm</Template>
  <TotalTime>0</TotalTime>
  <Pages>2</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2019-01-09T06:10:00Z</dcterms:created>
  <dcterms:modified xsi:type="dcterms:W3CDTF">2019-01-09T06:10:00Z</dcterms:modified>
</cp:coreProperties>
</file>