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3D39">
      <w:pPr>
        <w:autoSpaceDE w:val="0"/>
        <w:autoSpaceDN w:val="0"/>
        <w:adjustRightInd w:val="0"/>
        <w:spacing w:line="360" w:lineRule="atLeast"/>
        <w:ind w:left="880" w:hanging="220"/>
        <w:jc w:val="left"/>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○鬼北町公共物管理条例</w:t>
      </w:r>
    </w:p>
    <w:p w:rsidR="00000000" w:rsidRDefault="00A13D39">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日</w:t>
      </w:r>
    </w:p>
    <w:p w:rsidR="00000000" w:rsidRDefault="00A13D39">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63</w:t>
      </w:r>
      <w:r>
        <w:rPr>
          <w:rFonts w:ascii="ＭＳ 明朝" w:eastAsia="ＭＳ 明朝" w:hAnsi="ＭＳ 明朝" w:cs="ＭＳ 明朝" w:hint="eastAsia"/>
          <w:color w:val="000000"/>
          <w:kern w:val="0"/>
          <w:sz w:val="22"/>
        </w:rPr>
        <w:t>号</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目的</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条　この条例は、法令に特別の定めがあるものを除くほか、公共物の利用の適正を図るため、その管理に関し必要な事項を定め、もって公共の安全を保持するとともに、公共の福祉の増進に寄与することを目的とす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定義</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条　この条例において「公共物」とは、町</w:t>
      </w:r>
      <w:r>
        <w:rPr>
          <w:rFonts w:ascii="ＭＳ 明朝" w:eastAsia="ＭＳ 明朝" w:hAnsi="ＭＳ 明朝" w:cs="ＭＳ 明朝" w:hint="eastAsia"/>
          <w:color w:val="000000"/>
          <w:kern w:val="0"/>
          <w:sz w:val="22"/>
        </w:rPr>
        <w:t>の所有に属する道路、河川、水路、堤等で一般公共の用に供されているもの及びこれらと一体をなしている施設のうち、道路法</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昭和</w:t>
      </w:r>
      <w:r>
        <w:rPr>
          <w:rFonts w:ascii="ＭＳ 明朝" w:eastAsia="ＭＳ 明朝" w:hAnsi="ＭＳ 明朝" w:cs="ＭＳ 明朝"/>
          <w:color w:val="000000"/>
          <w:kern w:val="0"/>
          <w:sz w:val="22"/>
        </w:rPr>
        <w:t>27</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180</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、河川法</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昭和</w:t>
      </w:r>
      <w:r>
        <w:rPr>
          <w:rFonts w:ascii="ＭＳ 明朝" w:eastAsia="ＭＳ 明朝" w:hAnsi="ＭＳ 明朝" w:cs="ＭＳ 明朝"/>
          <w:color w:val="000000"/>
          <w:kern w:val="0"/>
          <w:sz w:val="22"/>
        </w:rPr>
        <w:t>39</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167</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、下水道法</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昭和</w:t>
      </w:r>
      <w:r>
        <w:rPr>
          <w:rFonts w:ascii="ＭＳ 明朝" w:eastAsia="ＭＳ 明朝" w:hAnsi="ＭＳ 明朝" w:cs="ＭＳ 明朝"/>
          <w:color w:val="000000"/>
          <w:kern w:val="0"/>
          <w:sz w:val="22"/>
        </w:rPr>
        <w:t>33</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79</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その他の法令に基づく管理に関し特別の定めのあるもの以外のものをいう。</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行為の禁止</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条　公共物に関しては、次に掲げる行為をしてはならない。</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公共物を損傷すること。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公共物に土砂、砂礫、竹木等を堆積すること。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公共物にごみ、汚物、毒物その他これらに類するものを投棄するこ</w:t>
      </w:r>
      <w:r>
        <w:rPr>
          <w:rFonts w:ascii="ＭＳ 明朝" w:eastAsia="ＭＳ 明朝" w:hAnsi="ＭＳ 明朝" w:cs="ＭＳ 明朝" w:hint="eastAsia"/>
          <w:color w:val="000000"/>
          <w:kern w:val="0"/>
          <w:sz w:val="22"/>
        </w:rPr>
        <w:t>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前</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号に掲げるもののほか、公共物の保全又は利用に支障を及ぼすおそれのある行為をすること。</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行為の許可</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　次に掲げる行為をしようとする者は、規則で定めるところにより、町長の許可を受けなければならない。</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公共物の用途の一部又は全部を変更して利用すること。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公共物の用途の一部又は全部を併用して利用すること。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公共物を付け替えて利用すること。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公共物を交換して利用すること。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公共物の敷地又は水面を占用すること。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 xml:space="preserve">　公共物の敷地内において工作物を新</w:t>
      </w:r>
      <w:r>
        <w:rPr>
          <w:rFonts w:ascii="ＭＳ 明朝" w:eastAsia="ＭＳ 明朝" w:hAnsi="ＭＳ 明朝" w:cs="ＭＳ 明朝" w:hint="eastAsia"/>
          <w:color w:val="000000"/>
          <w:kern w:val="0"/>
          <w:sz w:val="22"/>
        </w:rPr>
        <w:t>築し、改築し、又は除却すること。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 xml:space="preserve">　公共物の敷地内において掘削、盛土その他土地の形状の変更をすること。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 xml:space="preserve">　公共物の敷地内において土石、竹木、芝草その他の産出物を採取すること。</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 xml:space="preserve">　河川又は水路の流水を占用すること。</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前項の許可を受けた者は、許可に係る区域その他許可の内容</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期間の延長を除く。</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を変更しようとするときは、規則で定めるところにより、町長の許可を受けなければならない。</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町長は、前</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項の許可に、公共物の管理上必要な条件を付することができる。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権利の貸与等の禁止</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条　前条</w:t>
      </w: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項の許可を受けた者は、当該許可に基づく権利を他人に貸与し、又は担保に供してはならない。</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項の許可に基づく権利義務は、町長の許可を受けなければ、他人に譲渡</w:t>
      </w:r>
      <w:r>
        <w:rPr>
          <w:rFonts w:ascii="ＭＳ 明朝" w:eastAsia="ＭＳ 明朝" w:hAnsi="ＭＳ 明朝" w:cs="ＭＳ 明朝" w:hint="eastAsia"/>
          <w:color w:val="000000"/>
          <w:kern w:val="0"/>
          <w:sz w:val="22"/>
        </w:rPr>
        <w:lastRenderedPageBreak/>
        <w:t>してはならない。</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許可に基づく地位の承継</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条　相続人</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相続人が</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人以上ある場合において、その全員の同意により承継すべき相続人を選定したときは、その者</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、合併又は分割により設立される法人その他の第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項の許可を受けた者の一般承継人</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分割による承継の場合にあっては、当該許可に基づく権利を承継し、又は当該許可に係る工</w:t>
      </w:r>
      <w:r>
        <w:rPr>
          <w:rFonts w:ascii="ＭＳ 明朝" w:eastAsia="ＭＳ 明朝" w:hAnsi="ＭＳ 明朝" w:cs="ＭＳ 明朝" w:hint="eastAsia"/>
          <w:color w:val="000000"/>
          <w:kern w:val="0"/>
          <w:sz w:val="22"/>
        </w:rPr>
        <w:t>作物、土地若しくは当該許可に係る工作物の新築等をすべき土地を承継する法人に限る。</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は、被承継人が有していた当該許可に基づく地位を承継する。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前項の規定により第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項の許可を受けた者の地位を承継した者は、規則で定めるところにより、その事実を証する書面を添えて、その旨を町長に届け出なければならない。</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許可の取消し等</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条　町長は、次の各号のいずれかに該当する者に対して、その許可を取り消し、若しくはその条件を変更し、又はその行為の中止、工作物の改築、移転若しくは除却、その行為若しくは工作物</w:t>
      </w:r>
      <w:r>
        <w:rPr>
          <w:rFonts w:ascii="ＭＳ 明朝" w:eastAsia="ＭＳ 明朝" w:hAnsi="ＭＳ 明朝" w:cs="ＭＳ 明朝" w:hint="eastAsia"/>
          <w:color w:val="000000"/>
          <w:kern w:val="0"/>
          <w:sz w:val="22"/>
        </w:rPr>
        <w:t>により生じた若しくは生ずべき公共物の管理上の障害を除去し、若しくは予防するために必要な施設の設置若しくは原状回復を命ずることができる。</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項の規定に違反した者</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項の許可に付した条件に違反した者</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詐欺その他不正の行為により第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項の許可を受けた者</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町長は、次の各号のいずれかに該当する場合においては、第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項の許可を受けた者に対し、前項に規定する処分をし、又は同項に規定する必要な措置を命ずることができる。</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項の許可に係る公共物について、国又は地方公共団体が利用する必要を生じた場合</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その他公益上やむを得ない場合</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原状回復義務</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条　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項又は第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を受けて工作物を設置している者は、当該許可期間が満了し、又は当該工作物の用途を廃止したときは、遅滞なく、当該工作物を除却し、公共物を原状に回復するとともに、規則に定めるところにより町長に届け出なければならない。ただし、町長がその必要がないと認めるときは、この限りでない。</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使用料</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条　町長は、第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項の許可を受けた者</w:t>
      </w:r>
      <w:r>
        <w:rPr>
          <w:rFonts w:ascii="ＭＳ 明朝" w:eastAsia="ＭＳ 明朝" w:hAnsi="ＭＳ 明朝" w:cs="ＭＳ 明朝" w:hint="eastAsia"/>
          <w:color w:val="000000"/>
          <w:kern w:val="0"/>
          <w:sz w:val="22"/>
        </w:rPr>
        <w:t>から、許可の際、別表に定める使用料</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以下「使用料」という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の全額を徴収する。ただし、許可の期間が</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会計年度以上にわたる場合には、</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年分ごとに分割して徴収することができる。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町長は、特に必要と認める者に対しては、その使用料を減額し、又は免除することができる。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既に納付した使用料は、還付しない。ただし、第</w:t>
      </w: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項の規定により許可を取り消した場合その他町長が特別の事情があると認めるときは、この限りでない。</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国等の特例</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条　国又は地方公共団体が行う事業のための第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項各号に掲げる行為について</w:t>
      </w:r>
      <w:r>
        <w:rPr>
          <w:rFonts w:ascii="ＭＳ 明朝" w:eastAsia="ＭＳ 明朝" w:hAnsi="ＭＳ 明朝" w:cs="ＭＳ 明朝" w:hint="eastAsia"/>
          <w:color w:val="000000"/>
          <w:kern w:val="0"/>
          <w:sz w:val="22"/>
        </w:rPr>
        <w:t>は、同項の規定にかかわらず、これらの事業を行う者は、あらかじめ町長と協議しなければならない。協議した事項を変更しようとするときも、同様とする。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協議による境界の決定</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　町長は、公共物の境界が明らかでないため公共物の管理に支障があるときは、公共物の隣接地の所有者</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相続人その他の承継人及び権利、地位等の譲受人を含む。以下「隣接土地所有者等」という。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に対し境界を明らかにするための協議を求めることができる。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前項の規定は、隣接土地所有者等からの求めがあった場合においても、同様とする。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前</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w:t>
      </w:r>
      <w:r>
        <w:rPr>
          <w:rFonts w:ascii="ＭＳ 明朝" w:eastAsia="ＭＳ 明朝" w:hAnsi="ＭＳ 明朝" w:cs="ＭＳ 明朝" w:hint="eastAsia"/>
          <w:color w:val="000000"/>
          <w:kern w:val="0"/>
          <w:sz w:val="22"/>
        </w:rPr>
        <w:t>協議は、規則で定めるところにより行うものとする。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立入検査</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条　町長は、公共物に関する調査、測量若しくは工事又は公共物の維持のため、関係人の同意の上、その指名する職員を他人の土地に立ち入らせ、帳簿、書類その他必要な物件を検査させることができる。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前項の規定により他人の土地に立ち入ろうとする職員は、その身分を示す証明書を携帯し、関係人の請求があるときには、これを提示しなければならない。</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用途廃止</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条　町長は、公共物が次の各号のいずれかに該当する場合においては、当該公共物の用途を廃止する</w:t>
      </w:r>
      <w:r>
        <w:rPr>
          <w:rFonts w:ascii="ＭＳ 明朝" w:eastAsia="ＭＳ 明朝" w:hAnsi="ＭＳ 明朝" w:cs="ＭＳ 明朝" w:hint="eastAsia"/>
          <w:color w:val="000000"/>
          <w:kern w:val="0"/>
          <w:sz w:val="22"/>
        </w:rPr>
        <w:t>ことができる。</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公共物の本来の目的による効用がなくなったとき、又は著しくその公共性が認められなくなったとき。</w:t>
      </w:r>
    </w:p>
    <w:p w:rsidR="00000000" w:rsidRDefault="00A13D39">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公共事業の実施に当たり用途廃止を必要とするとき。</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町長は、前項の規定により公共物の用途を廃止しようとするときは、当該公共物について利害関係があると認められる者の意見を求めることができる。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委任</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条　この条例の施行に関し必要な事項は、規則で定める。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過料</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条　詐欺その他不正の行為により使用料の徴収を免れた者については、その徴収を免れた金額の</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倍に相当する金額</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当</w:t>
      </w:r>
      <w:r>
        <w:rPr>
          <w:rFonts w:ascii="ＭＳ 明朝" w:eastAsia="ＭＳ 明朝" w:hAnsi="ＭＳ 明朝" w:cs="ＭＳ 明朝" w:hint="eastAsia"/>
          <w:color w:val="000000"/>
          <w:kern w:val="0"/>
          <w:sz w:val="22"/>
        </w:rPr>
        <w:t>該</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倍に相当する金額が</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万円を超えないときは、</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万円とする。</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以下の過料を処する。</w:t>
      </w:r>
    </w:p>
    <w:p w:rsidR="00000000" w:rsidRDefault="00A13D39">
      <w:pPr>
        <w:autoSpaceDE w:val="0"/>
        <w:autoSpaceDN w:val="0"/>
        <w:adjustRightInd w:val="0"/>
        <w:spacing w:line="36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施行期日</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この条例は、平成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日から施行する。</w:t>
      </w:r>
    </w:p>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経過措置</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この条例の施行の日の前日までに、合併前の広見町公共物管理条例</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年広見町条例第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又は日吉村公共物管理条例</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年日吉村条例第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以下これらを「合併前の条例」という。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の規定によりなされた処分、手続その他の行為は、それぞれこの条例の相当規定によりなされたものとみなす。</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この条例の施行の日の前日までにした行為に対する罰</w:t>
      </w:r>
      <w:r>
        <w:rPr>
          <w:rFonts w:ascii="ＭＳ 明朝" w:eastAsia="ＭＳ 明朝" w:hAnsi="ＭＳ 明朝" w:cs="ＭＳ 明朝" w:hint="eastAsia"/>
          <w:color w:val="000000"/>
          <w:kern w:val="0"/>
          <w:sz w:val="22"/>
        </w:rPr>
        <w:t>則の適用については、なお合併前の</w:t>
      </w:r>
      <w:r>
        <w:rPr>
          <w:rFonts w:ascii="ＭＳ 明朝" w:eastAsia="ＭＳ 明朝" w:hAnsi="ＭＳ 明朝" w:cs="ＭＳ 明朝" w:hint="eastAsia"/>
          <w:color w:val="000000"/>
          <w:kern w:val="0"/>
          <w:sz w:val="22"/>
        </w:rPr>
        <w:lastRenderedPageBreak/>
        <w:t>条例の例による。</w:t>
      </w:r>
    </w:p>
    <w:p w:rsidR="00000000" w:rsidRDefault="00A13D39">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別表</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条関係</w:t>
      </w:r>
      <w:r>
        <w:rPr>
          <w:rFonts w:ascii="ＭＳ 明朝" w:eastAsia="ＭＳ 明朝" w:hAnsi="ＭＳ 明朝" w:cs="ＭＳ 明朝"/>
          <w:color w:val="000000"/>
          <w:kern w:val="0"/>
          <w:sz w:val="22"/>
        </w:rPr>
        <w:t>)</w:t>
      </w:r>
    </w:p>
    <w:p w:rsidR="00000000" w:rsidRDefault="00A13D39">
      <w:pPr>
        <w:autoSpaceDE w:val="0"/>
        <w:autoSpaceDN w:val="0"/>
        <w:adjustRightInd w:val="0"/>
        <w:spacing w:line="360" w:lineRule="atLeast"/>
        <w:ind w:left="44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使用料</w:t>
      </w:r>
    </w:p>
    <w:tbl>
      <w:tblPr>
        <w:tblW w:w="0" w:type="auto"/>
        <w:tblInd w:w="5" w:type="dxa"/>
        <w:tblLayout w:type="fixed"/>
        <w:tblCellMar>
          <w:left w:w="0" w:type="dxa"/>
          <w:right w:w="0" w:type="dxa"/>
        </w:tblCellMar>
        <w:tblLook w:val="0000" w:firstRow="0" w:lastRow="0" w:firstColumn="0" w:lastColumn="0" w:noHBand="0" w:noVBand="0"/>
      </w:tblPr>
      <w:tblGrid>
        <w:gridCol w:w="272"/>
        <w:gridCol w:w="816"/>
        <w:gridCol w:w="2177"/>
        <w:gridCol w:w="4626"/>
        <w:gridCol w:w="1179"/>
      </w:tblGrid>
      <w:tr w:rsidR="00000000">
        <w:tblPrEx>
          <w:tblCellMar>
            <w:top w:w="0" w:type="dxa"/>
            <w:left w:w="0" w:type="dxa"/>
            <w:bottom w:w="0" w:type="dxa"/>
            <w:right w:w="0" w:type="dxa"/>
          </w:tblCellMar>
        </w:tblPrEx>
        <w:tc>
          <w:tcPr>
            <w:tcW w:w="3265" w:type="dxa"/>
            <w:gridSpan w:val="3"/>
            <w:tcBorders>
              <w:top w:val="single" w:sz="4" w:space="0" w:color="000000"/>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種目</w:t>
            </w:r>
          </w:p>
        </w:tc>
        <w:tc>
          <w:tcPr>
            <w:tcW w:w="4626" w:type="dxa"/>
            <w:tcBorders>
              <w:top w:val="single" w:sz="4" w:space="0" w:color="000000"/>
              <w:left w:val="nil"/>
              <w:bottom w:val="single" w:sz="4" w:space="0" w:color="000000"/>
              <w:right w:val="single" w:sz="4" w:space="0" w:color="000000"/>
            </w:tcBorders>
          </w:tcPr>
          <w:p w:rsidR="00000000" w:rsidRDefault="00A13D39">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金額</w:t>
            </w:r>
          </w:p>
        </w:tc>
        <w:tc>
          <w:tcPr>
            <w:tcW w:w="1179" w:type="dxa"/>
            <w:tcBorders>
              <w:top w:val="single" w:sz="4" w:space="0" w:color="000000"/>
              <w:left w:val="nil"/>
              <w:bottom w:val="single" w:sz="4" w:space="0" w:color="000000"/>
              <w:right w:val="single" w:sz="4" w:space="0" w:color="000000"/>
            </w:tcBorders>
          </w:tcPr>
          <w:p w:rsidR="00000000" w:rsidRDefault="00A13D39">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摘要</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耕作地</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ゴルフ場</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養魚場</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18</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鉄道軌道その他これに類するもの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18</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木材けい留場、貯水場</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31</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看板</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看板の面積</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500</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広告塔</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広告の面積</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500</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電柱</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本につき　年額　</w:t>
            </w:r>
            <w:r>
              <w:rPr>
                <w:rFonts w:ascii="ＭＳ 明朝" w:eastAsia="ＭＳ 明朝" w:hAnsi="ＭＳ 明朝" w:cs="ＭＳ 明朝"/>
                <w:color w:val="000000"/>
                <w:kern w:val="0"/>
                <w:sz w:val="22"/>
              </w:rPr>
              <w:t>190</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支柱及び支線を含む。</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その他の柱類</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本につき　年額　</w:t>
            </w:r>
            <w:r>
              <w:rPr>
                <w:rFonts w:ascii="ＭＳ 明朝" w:eastAsia="ＭＳ 明朝" w:hAnsi="ＭＳ 明朝" w:cs="ＭＳ 明朝"/>
                <w:color w:val="000000"/>
                <w:kern w:val="0"/>
                <w:sz w:val="22"/>
              </w:rPr>
              <w:t>380</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送電塔</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基につき　年額　</w:t>
            </w:r>
            <w:r>
              <w:rPr>
                <w:rFonts w:ascii="ＭＳ 明朝" w:eastAsia="ＭＳ 明朝" w:hAnsi="ＭＳ 明朝" w:cs="ＭＳ 明朝"/>
                <w:color w:val="000000"/>
                <w:kern w:val="0"/>
                <w:sz w:val="22"/>
              </w:rPr>
              <w:t>630</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漁業用敷地</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けい船くい</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本につき　年額　</w:t>
            </w:r>
            <w:r>
              <w:rPr>
                <w:rFonts w:ascii="ＭＳ 明朝" w:eastAsia="ＭＳ 明朝" w:hAnsi="ＭＳ 明朝" w:cs="ＭＳ 明朝"/>
                <w:color w:val="000000"/>
                <w:kern w:val="0"/>
                <w:sz w:val="22"/>
              </w:rPr>
              <w:t>190</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val="restart"/>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諸管の埋架設</w:t>
            </w:r>
          </w:p>
        </w:tc>
        <w:tc>
          <w:tcPr>
            <w:tcW w:w="2993" w:type="dxa"/>
            <w:gridSpan w:val="2"/>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口径</w:t>
            </w:r>
            <w:r>
              <w:rPr>
                <w:rFonts w:ascii="ＭＳ 明朝" w:eastAsia="ＭＳ 明朝" w:hAnsi="ＭＳ 明朝" w:cs="ＭＳ 明朝"/>
                <w:color w:val="000000"/>
                <w:kern w:val="0"/>
                <w:sz w:val="22"/>
              </w:rPr>
              <w:t>0.2</w:t>
            </w:r>
            <w:r>
              <w:rPr>
                <w:rFonts w:ascii="ＭＳ 明朝" w:eastAsia="ＭＳ 明朝" w:hAnsi="ＭＳ 明朝" w:cs="ＭＳ 明朝" w:hint="eastAsia"/>
                <w:color w:val="000000"/>
                <w:kern w:val="0"/>
                <w:sz w:val="22"/>
              </w:rPr>
              <w:t>メートル未満のもの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メートルにつき　年額　</w:t>
            </w:r>
            <w:r>
              <w:rPr>
                <w:rFonts w:ascii="ＭＳ 明朝" w:eastAsia="ＭＳ 明朝" w:hAnsi="ＭＳ 明朝" w:cs="ＭＳ 明朝"/>
                <w:color w:val="000000"/>
                <w:kern w:val="0"/>
                <w:sz w:val="22"/>
              </w:rPr>
              <w:t>18</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2993" w:type="dxa"/>
            <w:gridSpan w:val="2"/>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口径</w:t>
            </w:r>
            <w:r>
              <w:rPr>
                <w:rFonts w:ascii="ＭＳ 明朝" w:eastAsia="ＭＳ 明朝" w:hAnsi="ＭＳ 明朝" w:cs="ＭＳ 明朝"/>
                <w:color w:val="000000"/>
                <w:kern w:val="0"/>
                <w:sz w:val="22"/>
              </w:rPr>
              <w:t>0.2</w:t>
            </w:r>
            <w:r>
              <w:rPr>
                <w:rFonts w:ascii="ＭＳ 明朝" w:eastAsia="ＭＳ 明朝" w:hAnsi="ＭＳ 明朝" w:cs="ＭＳ 明朝" w:hint="eastAsia"/>
                <w:color w:val="000000"/>
                <w:kern w:val="0"/>
                <w:sz w:val="22"/>
              </w:rPr>
              <w:t>メートル以上</w:t>
            </w:r>
          </w:p>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口径</w:t>
            </w:r>
            <w:r>
              <w:rPr>
                <w:rFonts w:ascii="ＭＳ 明朝" w:eastAsia="ＭＳ 明朝" w:hAnsi="ＭＳ 明朝" w:cs="ＭＳ 明朝"/>
                <w:color w:val="000000"/>
                <w:kern w:val="0"/>
                <w:sz w:val="22"/>
              </w:rPr>
              <w:t>0.5</w:t>
            </w:r>
            <w:r>
              <w:rPr>
                <w:rFonts w:ascii="ＭＳ 明朝" w:eastAsia="ＭＳ 明朝" w:hAnsi="ＭＳ 明朝" w:cs="ＭＳ 明朝" w:hint="eastAsia"/>
                <w:color w:val="000000"/>
                <w:kern w:val="0"/>
                <w:sz w:val="22"/>
              </w:rPr>
              <w:t>メートル未満のもの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メートルにつき　年額　</w:t>
            </w:r>
            <w:r>
              <w:rPr>
                <w:rFonts w:ascii="ＭＳ 明朝" w:eastAsia="ＭＳ 明朝" w:hAnsi="ＭＳ 明朝" w:cs="ＭＳ 明朝"/>
                <w:color w:val="000000"/>
                <w:kern w:val="0"/>
                <w:sz w:val="22"/>
              </w:rPr>
              <w:t>37</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2993" w:type="dxa"/>
            <w:gridSpan w:val="2"/>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口径</w:t>
            </w:r>
            <w:r>
              <w:rPr>
                <w:rFonts w:ascii="ＭＳ 明朝" w:eastAsia="ＭＳ 明朝" w:hAnsi="ＭＳ 明朝" w:cs="ＭＳ 明朝"/>
                <w:color w:val="000000"/>
                <w:kern w:val="0"/>
                <w:sz w:val="22"/>
              </w:rPr>
              <w:t>0.5</w:t>
            </w:r>
            <w:r>
              <w:rPr>
                <w:rFonts w:ascii="ＭＳ 明朝" w:eastAsia="ＭＳ 明朝" w:hAnsi="ＭＳ 明朝" w:cs="ＭＳ 明朝" w:hint="eastAsia"/>
                <w:color w:val="000000"/>
                <w:kern w:val="0"/>
                <w:sz w:val="22"/>
              </w:rPr>
              <w:t>メートル以上もの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メートルにつき　年額　</w:t>
            </w:r>
            <w:r>
              <w:rPr>
                <w:rFonts w:ascii="ＭＳ 明朝" w:eastAsia="ＭＳ 明朝" w:hAnsi="ＭＳ 明朝" w:cs="ＭＳ 明朝"/>
                <w:color w:val="000000"/>
                <w:kern w:val="0"/>
                <w:sz w:val="22"/>
              </w:rPr>
              <w:t>62</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val="restart"/>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その他の土地</w:t>
            </w:r>
          </w:p>
        </w:tc>
        <w:tc>
          <w:tcPr>
            <w:tcW w:w="816" w:type="dxa"/>
            <w:vMerge w:val="restart"/>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工作物を伴うも</w:t>
            </w:r>
            <w:r>
              <w:rPr>
                <w:rFonts w:ascii="ＭＳ 明朝" w:eastAsia="ＭＳ 明朝" w:hAnsi="ＭＳ 明朝" w:cs="ＭＳ 明朝" w:hint="eastAsia"/>
                <w:color w:val="000000"/>
                <w:kern w:val="0"/>
                <w:sz w:val="22"/>
              </w:rPr>
              <w:t>の</w:t>
            </w:r>
          </w:p>
        </w:tc>
        <w:tc>
          <w:tcPr>
            <w:tcW w:w="2177"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一時的なもの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31</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816" w:type="dxa"/>
            <w:vMerge/>
            <w:tcBorders>
              <w:top w:val="nil"/>
              <w:left w:val="nil"/>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2177"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その他のもの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37</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816" w:type="dxa"/>
            <w:vMerge w:val="restart"/>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工作物を伴わないもの</w:t>
            </w:r>
          </w:p>
        </w:tc>
        <w:tc>
          <w:tcPr>
            <w:tcW w:w="2177"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一時的なもの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18</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272" w:type="dxa"/>
            <w:vMerge/>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816" w:type="dxa"/>
            <w:vMerge/>
            <w:tcBorders>
              <w:top w:val="nil"/>
              <w:left w:val="nil"/>
              <w:bottom w:val="single" w:sz="4" w:space="0" w:color="000000"/>
              <w:right w:val="single" w:sz="4" w:space="0" w:color="000000"/>
            </w:tcBorders>
          </w:tcPr>
          <w:p w:rsidR="00000000" w:rsidRDefault="00A13D39">
            <w:pPr>
              <w:autoSpaceDE w:val="0"/>
              <w:autoSpaceDN w:val="0"/>
              <w:adjustRightInd w:val="0"/>
              <w:jc w:val="left"/>
              <w:rPr>
                <w:rFonts w:ascii="Arial" w:hAnsi="Arial" w:cs="Arial"/>
                <w:kern w:val="0"/>
                <w:sz w:val="24"/>
                <w:szCs w:val="24"/>
              </w:rPr>
            </w:pPr>
          </w:p>
        </w:tc>
        <w:tc>
          <w:tcPr>
            <w:tcW w:w="2177"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その他のもの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平方メートルにつき　年額　</w:t>
            </w:r>
            <w:r>
              <w:rPr>
                <w:rFonts w:ascii="ＭＳ 明朝" w:eastAsia="ＭＳ 明朝" w:hAnsi="ＭＳ 明朝" w:cs="ＭＳ 明朝"/>
                <w:color w:val="000000"/>
                <w:kern w:val="0"/>
                <w:sz w:val="22"/>
              </w:rPr>
              <w:t>25</w:t>
            </w:r>
            <w:r>
              <w:rPr>
                <w:rFonts w:ascii="ＭＳ 明朝" w:eastAsia="ＭＳ 明朝" w:hAnsi="ＭＳ 明朝" w:cs="ＭＳ 明朝" w:hint="eastAsia"/>
                <w:color w:val="000000"/>
                <w:kern w:val="0"/>
                <w:sz w:val="22"/>
              </w:rPr>
              <w:t>円</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r w:rsidR="00000000">
        <w:tblPrEx>
          <w:tblCellMar>
            <w:top w:w="0" w:type="dxa"/>
            <w:left w:w="0" w:type="dxa"/>
            <w:bottom w:w="0" w:type="dxa"/>
            <w:right w:w="0" w:type="dxa"/>
          </w:tblCellMar>
        </w:tblPrEx>
        <w:tc>
          <w:tcPr>
            <w:tcW w:w="3265" w:type="dxa"/>
            <w:gridSpan w:val="3"/>
            <w:tcBorders>
              <w:top w:val="nil"/>
              <w:left w:val="single" w:sz="4" w:space="0" w:color="000000"/>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その他もの</w:t>
            </w:r>
          </w:p>
        </w:tc>
        <w:tc>
          <w:tcPr>
            <w:tcW w:w="4626"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類似の種目に準じて町長の定める額</w:t>
            </w:r>
          </w:p>
        </w:tc>
        <w:tc>
          <w:tcPr>
            <w:tcW w:w="1179" w:type="dxa"/>
            <w:tcBorders>
              <w:top w:val="nil"/>
              <w:left w:val="nil"/>
              <w:bottom w:val="single" w:sz="4" w:space="0" w:color="000000"/>
              <w:right w:val="single" w:sz="4" w:space="0" w:color="000000"/>
            </w:tcBorders>
          </w:tcPr>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tc>
      </w:tr>
    </w:tbl>
    <w:p w:rsidR="00000000" w:rsidRDefault="00A13D39">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備考</w:t>
      </w:r>
    </w:p>
    <w:p w:rsidR="00000000" w:rsidRDefault="00A13D39">
      <w:pPr>
        <w:autoSpaceDE w:val="0"/>
        <w:autoSpaceDN w:val="0"/>
        <w:adjustRightInd w:val="0"/>
        <w:spacing w:line="36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面積又は長さにおいてこの表に定める単位に満たない端数を生じた場合は、これを切り上げて計算する。</w:t>
      </w:r>
    </w:p>
    <w:p w:rsidR="00000000" w:rsidRDefault="00A13D39">
      <w:pPr>
        <w:autoSpaceDE w:val="0"/>
        <w:autoSpaceDN w:val="0"/>
        <w:adjustRightInd w:val="0"/>
        <w:spacing w:line="36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使用の期間が</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年に満たない場合は、この表に掲げる金額の</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分の</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を</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月の金額とし、</w:t>
      </w:r>
      <w:r>
        <w:rPr>
          <w:rFonts w:ascii="ＭＳ 明朝" w:eastAsia="ＭＳ 明朝" w:hAnsi="ＭＳ 明朝" w:cs="ＭＳ 明朝" w:hint="eastAsia"/>
          <w:color w:val="000000"/>
          <w:kern w:val="0"/>
          <w:sz w:val="22"/>
        </w:rPr>
        <w:lastRenderedPageBreak/>
        <w:t>その期間</w:t>
      </w:r>
      <w:r>
        <w:rPr>
          <w:rFonts w:ascii="ＭＳ 明朝" w:eastAsia="ＭＳ 明朝" w:hAnsi="ＭＳ 明朝" w:cs="ＭＳ 明朝" w:hint="eastAsia"/>
          <w:color w:val="000000"/>
          <w:kern w:val="0"/>
          <w:sz w:val="22"/>
        </w:rPr>
        <w:t>が</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月に満たない場合はこれを</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月とみなして計算する。</w:t>
      </w:r>
    </w:p>
    <w:p w:rsidR="00000000" w:rsidRDefault="00A13D39">
      <w:pPr>
        <w:autoSpaceDE w:val="0"/>
        <w:autoSpaceDN w:val="0"/>
        <w:adjustRightInd w:val="0"/>
        <w:spacing w:line="36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件の使用料に</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円未満の端数を生じた場合は、これを切り捨てる。</w:t>
      </w:r>
    </w:p>
    <w:p w:rsidR="00000000" w:rsidRDefault="00A13D39">
      <w:pPr>
        <w:autoSpaceDE w:val="0"/>
        <w:autoSpaceDN w:val="0"/>
        <w:adjustRightInd w:val="0"/>
        <w:spacing w:line="36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件の使用料が</w:t>
      </w:r>
      <w:r>
        <w:rPr>
          <w:rFonts w:ascii="ＭＳ 明朝" w:eastAsia="ＭＳ 明朝" w:hAnsi="ＭＳ 明朝" w:cs="ＭＳ 明朝"/>
          <w:color w:val="000000"/>
          <w:kern w:val="0"/>
          <w:sz w:val="22"/>
        </w:rPr>
        <w:t>100</w:t>
      </w:r>
      <w:r>
        <w:rPr>
          <w:rFonts w:ascii="ＭＳ 明朝" w:eastAsia="ＭＳ 明朝" w:hAnsi="ＭＳ 明朝" w:cs="ＭＳ 明朝" w:hint="eastAsia"/>
          <w:color w:val="000000"/>
          <w:kern w:val="0"/>
          <w:sz w:val="22"/>
        </w:rPr>
        <w:t>円未満の場合は、</w:t>
      </w:r>
      <w:r>
        <w:rPr>
          <w:rFonts w:ascii="ＭＳ 明朝" w:eastAsia="ＭＳ 明朝" w:hAnsi="ＭＳ 明朝" w:cs="ＭＳ 明朝"/>
          <w:color w:val="000000"/>
          <w:kern w:val="0"/>
          <w:sz w:val="22"/>
        </w:rPr>
        <w:t>100</w:t>
      </w:r>
      <w:r>
        <w:rPr>
          <w:rFonts w:ascii="ＭＳ 明朝" w:eastAsia="ＭＳ 明朝" w:hAnsi="ＭＳ 明朝" w:cs="ＭＳ 明朝" w:hint="eastAsia"/>
          <w:color w:val="000000"/>
          <w:kern w:val="0"/>
          <w:sz w:val="22"/>
        </w:rPr>
        <w:t>円とする。</w:t>
      </w:r>
    </w:p>
    <w:p w:rsidR="00000000" w:rsidRDefault="00A13D39">
      <w:pPr>
        <w:autoSpaceDE w:val="0"/>
        <w:autoSpaceDN w:val="0"/>
        <w:adjustRightInd w:val="0"/>
        <w:spacing w:line="360" w:lineRule="atLeast"/>
        <w:jc w:val="left"/>
        <w:rPr>
          <w:rFonts w:ascii="ＭＳ 明朝" w:eastAsia="ＭＳ 明朝" w:hAnsi="ＭＳ 明朝" w:cs="ＭＳ 明朝"/>
          <w:color w:val="000000"/>
          <w:kern w:val="0"/>
          <w:sz w:val="22"/>
        </w:rPr>
      </w:pPr>
      <w:bookmarkStart w:id="1" w:name="last"/>
      <w:bookmarkEnd w:id="1"/>
    </w:p>
    <w:sectPr w:rsidR="00000000">
      <w:footerReference w:type="default" r:id="rId6"/>
      <w:pgSz w:w="11905" w:h="16837"/>
      <w:pgMar w:top="1700" w:right="1133"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3D39">
      <w:r>
        <w:separator/>
      </w:r>
    </w:p>
  </w:endnote>
  <w:endnote w:type="continuationSeparator" w:id="0">
    <w:p w:rsidR="00000000" w:rsidRDefault="00A1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3D39">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noProof/>
        <w:color w:val="000000"/>
        <w:kern w:val="0"/>
        <w:szCs w:val="21"/>
      </w:rPr>
      <w:t>5</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3D39">
      <w:r>
        <w:separator/>
      </w:r>
    </w:p>
  </w:footnote>
  <w:footnote w:type="continuationSeparator" w:id="0">
    <w:p w:rsidR="00000000" w:rsidRDefault="00A13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D39"/>
    <w:rsid w:val="00A1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5A633CC8.dotm</Template>
  <TotalTime>1</TotalTime>
  <Pages>5</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2018-05-18T06:01:00Z</dcterms:created>
  <dcterms:modified xsi:type="dcterms:W3CDTF">2018-05-18T06:01:00Z</dcterms:modified>
</cp:coreProperties>
</file>